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sz w:val="48"/>
          <w:szCs w:val="48"/>
          <w:highlight w:val="none"/>
          <w:lang w:val="en-US" w:eastAsia="zh-CN"/>
        </w:rPr>
      </w:pPr>
      <w:r>
        <w:rPr>
          <w:rFonts w:hint="eastAsia" w:ascii="仿宋" w:hAnsi="仿宋" w:eastAsia="仿宋" w:cs="仿宋"/>
          <w:b/>
          <w:bCs/>
          <w:sz w:val="48"/>
          <w:szCs w:val="48"/>
          <w:highlight w:val="none"/>
          <w:lang w:val="en-US" w:eastAsia="zh-CN"/>
        </w:rPr>
        <w:t>交大2020级毕业生待做事项流程</w:t>
      </w:r>
    </w:p>
    <w:p>
      <w:pPr>
        <w:numPr>
          <w:ilvl w:val="0"/>
          <w:numId w:val="0"/>
        </w:numPr>
        <w:jc w:val="both"/>
        <w:rPr>
          <w:rFonts w:hint="default" w:ascii="仿宋" w:hAnsi="仿宋" w:eastAsia="仿宋" w:cs="仿宋"/>
          <w:b/>
          <w:bCs/>
          <w:sz w:val="30"/>
          <w:szCs w:val="30"/>
          <w:highlight w:val="red"/>
          <w:lang w:val="en-US" w:eastAsia="zh-CN"/>
        </w:rPr>
      </w:pPr>
      <w:r>
        <w:rPr>
          <w:rFonts w:hint="eastAsia" w:ascii="仿宋" w:hAnsi="仿宋" w:eastAsia="仿宋" w:cs="仿宋"/>
          <w:b/>
          <w:bCs/>
          <w:sz w:val="30"/>
          <w:szCs w:val="30"/>
          <w:highlight w:val="red"/>
          <w:lang w:val="en-US" w:eastAsia="zh-CN"/>
        </w:rPr>
        <w:t>该流程适用范围：2020级毕业学生、2019级延期毕业学生</w:t>
      </w:r>
    </w:p>
    <w:p>
      <w:pPr>
        <w:numPr>
          <w:ilvl w:val="0"/>
          <w:numId w:val="0"/>
        </w:numPr>
        <w:rPr>
          <w:rFonts w:hint="eastAsia" w:ascii="仿宋" w:hAnsi="仿宋" w:eastAsia="仿宋" w:cs="仿宋"/>
          <w:b/>
          <w:bCs/>
          <w:sz w:val="44"/>
          <w:szCs w:val="44"/>
          <w:highlight w:val="yellow"/>
          <w:lang w:val="en-US" w:eastAsia="zh-CN"/>
        </w:rPr>
      </w:pPr>
      <w:r>
        <w:rPr>
          <w:rFonts w:hint="eastAsia" w:ascii="仿宋" w:hAnsi="仿宋" w:eastAsia="仿宋" w:cs="仿宋"/>
          <w:b/>
          <w:bCs/>
          <w:sz w:val="44"/>
          <w:szCs w:val="44"/>
          <w:highlight w:val="yellow"/>
          <w:lang w:val="en-US" w:eastAsia="zh-CN"/>
        </w:rPr>
        <w:t>一、学信网信息核对</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highlight w:val="green"/>
          <w:lang w:val="en-US" w:eastAsia="zh-CN"/>
        </w:rPr>
        <w:t>学生本人登录学信网</w:t>
      </w:r>
      <w:r>
        <w:rPr>
          <w:rFonts w:hint="eastAsia" w:ascii="仿宋" w:hAnsi="仿宋" w:eastAsia="仿宋" w:cs="仿宋"/>
          <w:sz w:val="32"/>
          <w:szCs w:val="32"/>
          <w:lang w:val="en-US" w:eastAsia="zh-CN"/>
        </w:rPr>
        <w:t>（https://www.chsi.com.cn/）完成核对</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highlight w:val="green"/>
          <w:lang w:val="en-US" w:eastAsia="zh-CN" w:bidi="ar"/>
        </w:rPr>
        <w:t>2.学信网学生信息确认内容</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⑴个人信息：姓名、性别、身份证号、出生日期、民族。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⑵学籍信息：学校名称、层次、专业、学制、学习形式、学号、学籍状态（正常应为：在籍&lt;或注册学籍&gt;）。 </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⑶学历照片：即毕业生图像信息采集照片，核对是否已上传、是否是本人。</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675" cy="4022090"/>
            <wp:effectExtent l="0" t="0" r="3175" b="16510"/>
            <wp:docPr id="3" name="图片 3" descr="eaf629d70fd41214df02931cd38e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f629d70fd41214df02931cd38e237"/>
                    <pic:cNvPicPr>
                      <a:picLocks noChangeAspect="1"/>
                    </pic:cNvPicPr>
                  </pic:nvPicPr>
                  <pic:blipFill>
                    <a:blip r:embed="rId4"/>
                    <a:stretch>
                      <a:fillRect/>
                    </a:stretch>
                  </pic:blipFill>
                  <pic:spPr>
                    <a:xfrm>
                      <a:off x="0" y="0"/>
                      <a:ext cx="5273675" cy="4022090"/>
                    </a:xfrm>
                    <a:prstGeom prst="rect">
                      <a:avLst/>
                    </a:prstGeom>
                  </pic:spPr>
                </pic:pic>
              </a:graphicData>
            </a:graphic>
          </wp:inline>
        </w:drawing>
      </w:r>
      <w:r>
        <w:rPr>
          <w:rFonts w:hint="eastAsia" w:ascii="仿宋" w:hAnsi="仿宋" w:eastAsia="仿宋" w:cs="仿宋"/>
          <w:sz w:val="32"/>
          <w:szCs w:val="32"/>
          <w:highlight w:val="green"/>
          <w:lang w:val="en-US" w:eastAsia="zh-CN"/>
        </w:rPr>
        <w:t>3.成教学生服务平台是否完成校对复核：</w:t>
      </w:r>
      <w:r>
        <w:rPr>
          <w:rFonts w:hint="eastAsia" w:ascii="仿宋" w:hAnsi="仿宋" w:eastAsia="仿宋" w:cs="仿宋"/>
          <w:sz w:val="32"/>
          <w:szCs w:val="32"/>
          <w:lang w:val="en-US" w:eastAsia="zh-CN"/>
        </w:rPr>
        <w:t>点击正确完成确认后可登录成教学生服务平台：</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http://xjtu.jxjy.chaoxing.com/yh/menu进行查看，查看流程如下：</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①首先进行登录</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3040" cy="2768600"/>
            <wp:effectExtent l="0" t="0" r="381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2768600"/>
                    </a:xfrm>
                    <a:prstGeom prst="rect">
                      <a:avLst/>
                    </a:prstGeom>
                    <a:noFill/>
                    <a:ln>
                      <a:noFill/>
                    </a:ln>
                  </pic:spPr>
                </pic:pic>
              </a:graphicData>
            </a:graphic>
          </wp:inline>
        </w:drawing>
      </w:r>
    </w:p>
    <w:p>
      <w:pPr>
        <w:numPr>
          <w:ilvl w:val="0"/>
          <w:numId w:val="0"/>
        </w:numPr>
        <w:ind w:leftChars="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登录完成后左侧点击导航栏—学生服务</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2880" cy="2722245"/>
            <wp:effectExtent l="0" t="0" r="1397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2880" cy="2722245"/>
                    </a:xfrm>
                    <a:prstGeom prst="rect">
                      <a:avLst/>
                    </a:prstGeom>
                    <a:noFill/>
                    <a:ln>
                      <a:noFill/>
                    </a:ln>
                  </pic:spPr>
                </pic:pic>
              </a:graphicData>
            </a:graphic>
          </wp:inline>
        </w:drawing>
      </w:r>
    </w:p>
    <w:p>
      <w:pPr>
        <w:numPr>
          <w:ilvl w:val="0"/>
          <w:numId w:val="0"/>
        </w:numPr>
      </w:pPr>
      <w:r>
        <w:rPr>
          <w:rFonts w:hint="eastAsia" w:ascii="仿宋" w:hAnsi="仿宋" w:eastAsia="仿宋" w:cs="仿宋"/>
          <w:sz w:val="32"/>
          <w:szCs w:val="32"/>
        </w:rPr>
        <w:t>③</w:t>
      </w:r>
      <w:r>
        <w:rPr>
          <w:rFonts w:hint="eastAsia" w:ascii="仿宋" w:hAnsi="仿宋" w:eastAsia="仿宋" w:cs="仿宋"/>
          <w:sz w:val="32"/>
          <w:szCs w:val="32"/>
          <w:lang w:eastAsia="zh-CN"/>
        </w:rPr>
        <w:t>点击毕业条件进入相关页面</w:t>
      </w:r>
    </w:p>
    <w:p>
      <w:pPr>
        <w:numPr>
          <w:ilvl w:val="0"/>
          <w:numId w:val="0"/>
        </w:numPr>
      </w:pPr>
      <w:r>
        <w:drawing>
          <wp:inline distT="0" distB="0" distL="114300" distR="114300">
            <wp:extent cx="5273675" cy="2726690"/>
            <wp:effectExtent l="0" t="0" r="3175" b="165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3675" cy="2726690"/>
                    </a:xfrm>
                    <a:prstGeom prst="rect">
                      <a:avLst/>
                    </a:prstGeom>
                    <a:noFill/>
                    <a:ln>
                      <a:noFill/>
                    </a:ln>
                  </pic:spPr>
                </pic:pic>
              </a:graphicData>
            </a:graphic>
          </wp:inline>
        </w:drawing>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④查看学信网信息校对一栏是否变为蓝色，且注明：已校对</w:t>
      </w:r>
    </w:p>
    <w:p>
      <w:pPr>
        <w:numPr>
          <w:ilvl w:val="0"/>
          <w:numId w:val="0"/>
        </w:numPr>
        <w:rPr>
          <w:rFonts w:hint="eastAsia"/>
          <w:lang w:val="en-US" w:eastAsia="zh-CN"/>
        </w:rPr>
      </w:pPr>
      <w:r>
        <w:drawing>
          <wp:inline distT="0" distB="0" distL="114300" distR="114300">
            <wp:extent cx="5265420" cy="2726690"/>
            <wp:effectExtent l="0" t="0" r="11430"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5265420" cy="2726690"/>
                    </a:xfrm>
                    <a:prstGeom prst="rect">
                      <a:avLst/>
                    </a:prstGeom>
                    <a:noFill/>
                    <a:ln>
                      <a:noFill/>
                    </a:ln>
                  </pic:spPr>
                </pic:pic>
              </a:graphicData>
            </a:graphic>
          </wp:inline>
        </w:drawing>
      </w:r>
    </w:p>
    <w:p>
      <w:pPr>
        <w:numPr>
          <w:ilvl w:val="0"/>
          <w:numId w:val="0"/>
        </w:numPr>
        <w:rPr>
          <w:rFonts w:hint="eastAsia" w:ascii="仿宋" w:hAnsi="仿宋" w:eastAsia="仿宋" w:cs="仿宋"/>
          <w:b/>
          <w:bCs/>
          <w:sz w:val="44"/>
          <w:szCs w:val="44"/>
          <w:highlight w:val="yellow"/>
          <w:lang w:val="en-US" w:eastAsia="zh-CN"/>
        </w:rPr>
      </w:pPr>
      <w:r>
        <w:rPr>
          <w:rFonts w:hint="eastAsia" w:ascii="仿宋" w:hAnsi="仿宋" w:eastAsia="仿宋" w:cs="仿宋"/>
          <w:b/>
          <w:bCs/>
          <w:sz w:val="32"/>
          <w:szCs w:val="32"/>
          <w:highlight w:val="yellow"/>
          <w:lang w:val="en-US" w:eastAsia="zh-CN"/>
        </w:rPr>
        <w:t>二、</w:t>
      </w:r>
      <w:r>
        <w:rPr>
          <w:rFonts w:hint="eastAsia" w:ascii="仿宋" w:hAnsi="仿宋" w:eastAsia="仿宋" w:cs="仿宋"/>
          <w:b/>
          <w:bCs/>
          <w:sz w:val="44"/>
          <w:szCs w:val="44"/>
          <w:highlight w:val="yellow"/>
          <w:lang w:val="en-US" w:eastAsia="zh-CN"/>
        </w:rPr>
        <w:t>成教学生服务平台学生需做事项</w:t>
      </w:r>
    </w:p>
    <w:p>
      <w:pPr>
        <w:keepNext w:val="0"/>
        <w:keepLines w:val="0"/>
        <w:widowControl/>
        <w:suppressLineNumbers w:val="0"/>
        <w:jc w:val="left"/>
        <w:rPr>
          <w:rFonts w:hint="default" w:ascii="仿宋" w:hAnsi="仿宋" w:eastAsia="仿宋" w:cs="仿宋"/>
          <w:sz w:val="32"/>
          <w:szCs w:val="32"/>
          <w:lang w:val="en-US"/>
        </w:rPr>
      </w:pPr>
      <w:r>
        <w:rPr>
          <w:rFonts w:hint="eastAsia" w:ascii="仿宋" w:hAnsi="仿宋" w:eastAsia="仿宋" w:cs="仿宋"/>
          <w:sz w:val="32"/>
          <w:szCs w:val="32"/>
          <w:highlight w:val="green"/>
          <w:lang w:val="en-US" w:eastAsia="zh-CN"/>
        </w:rPr>
        <w:t>1.学生个人信息确认</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lang w:val="en-US" w:eastAsia="zh-CN" w:bidi="ar"/>
        </w:rPr>
        <w:t>成教学生服务平台学生信息应与学信网学生信息保持一致，信息不正确会影响毕业生资格审核、学历电子注册、毕业档案信息正确性以及毕业后学位课程考试报名等工作，凡不进行信息确认以及发现错误在学历注册前未向学院提出修改申请者，毕业后学院无法受理更改申请，责任自负。确认步骤如下：</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（1）学生登录http://xjtu.jxjy.chaoxing.com/yh/menu</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5273040" cy="2768600"/>
            <wp:effectExtent l="0" t="0" r="3810"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73040" cy="2768600"/>
                    </a:xfrm>
                    <a:prstGeom prst="rect">
                      <a:avLst/>
                    </a:prstGeom>
                    <a:noFill/>
                    <a:ln>
                      <a:noFill/>
                    </a:ln>
                  </pic:spPr>
                </pic:pic>
              </a:graphicData>
            </a:graphic>
          </wp:inline>
        </w:drawing>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（2）登录完成后左侧点击导航栏—学生服务</w:t>
      </w:r>
    </w:p>
    <w:p>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2880" cy="2722245"/>
            <wp:effectExtent l="0" t="0" r="13970"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262880" cy="2722245"/>
                    </a:xfrm>
                    <a:prstGeom prst="rect">
                      <a:avLst/>
                    </a:prstGeom>
                    <a:noFill/>
                    <a:ln>
                      <a:noFill/>
                    </a:ln>
                  </pic:spPr>
                </pic:pic>
              </a:graphicData>
            </a:graphic>
          </wp:inline>
        </w:drawing>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（3）在个人信息栏，点击进入查看/编辑</w:t>
      </w:r>
    </w:p>
    <w:p>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0500" cy="2699385"/>
            <wp:effectExtent l="0" t="0" r="6350" b="571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5270500" cy="2699385"/>
                    </a:xfrm>
                    <a:prstGeom prst="rect">
                      <a:avLst/>
                    </a:prstGeom>
                    <a:noFill/>
                    <a:ln>
                      <a:noFill/>
                    </a:ln>
                  </pic:spPr>
                </pic:pic>
              </a:graphicData>
            </a:graphic>
          </wp:inline>
        </w:drawing>
      </w:r>
    </w:p>
    <w:p>
      <w:pPr>
        <w:keepNext w:val="0"/>
        <w:keepLines w:val="0"/>
        <w:widowControl/>
        <w:numPr>
          <w:ilvl w:val="0"/>
          <w:numId w:val="2"/>
        </w:numPr>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进入页面后，请查看确认以下内容：</w:t>
      </w:r>
    </w:p>
    <w:p>
      <w:pPr>
        <w:keepNext w:val="0"/>
        <w:keepLines w:val="0"/>
        <w:widowControl/>
        <w:numPr>
          <w:ilvl w:val="0"/>
          <w:numId w:val="0"/>
        </w:numPr>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①个人信息：姓名、性别、身份证号码、出生日期、民族。 </w:t>
      </w:r>
    </w:p>
    <w:p>
      <w:pPr>
        <w:keepNext w:val="0"/>
        <w:keepLines w:val="0"/>
        <w:widowControl/>
        <w:suppressLineNumbers w:val="0"/>
        <w:jc w:val="left"/>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②学籍信息：学籍状态（正常应为：在籍）、函授站、层次、培养专业、学籍年级与学习年级（正常情况学籍年级与学习年级一致，应为入学报到所在年份；有过休学或留级情况的，学籍年级应为入学报到所在年份、学习年级应为当前所在年级即2020 级）学号、学习形式。 </w:t>
      </w:r>
    </w:p>
    <w:p>
      <w:pPr>
        <w:numPr>
          <w:ilvl w:val="0"/>
          <w:numId w:val="0"/>
        </w:numPr>
        <w:ind w:leftChars="0"/>
        <w:rPr>
          <w:rFonts w:hint="eastAsia" w:ascii="仿宋" w:hAnsi="仿宋" w:eastAsia="仿宋" w:cs="仿宋"/>
          <w:sz w:val="32"/>
          <w:szCs w:val="32"/>
          <w:lang w:val="en-US" w:eastAsia="zh-CN"/>
        </w:rPr>
      </w:pPr>
      <w:r>
        <w:drawing>
          <wp:inline distT="0" distB="0" distL="114300" distR="114300">
            <wp:extent cx="5262245" cy="2707640"/>
            <wp:effectExtent l="0" t="0" r="14605" b="1651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0"/>
                    <a:stretch>
                      <a:fillRect/>
                    </a:stretch>
                  </pic:blipFill>
                  <pic:spPr>
                    <a:xfrm>
                      <a:off x="0" y="0"/>
                      <a:ext cx="5262245" cy="2707640"/>
                    </a:xfrm>
                    <a:prstGeom prst="rect">
                      <a:avLst/>
                    </a:prstGeom>
                    <a:noFill/>
                    <a:ln>
                      <a:noFill/>
                    </a:ln>
                  </pic:spPr>
                </pic:pic>
              </a:graphicData>
            </a:graphic>
          </wp:inline>
        </w:drawing>
      </w:r>
    </w:p>
    <w:p>
      <w:pPr>
        <w:keepNext w:val="0"/>
        <w:keepLines w:val="0"/>
        <w:widowControl/>
        <w:suppressLineNumbers w:val="0"/>
        <w:jc w:val="left"/>
        <w:rPr>
          <w:rFonts w:hint="default" w:ascii="仿宋" w:hAnsi="仿宋" w:eastAsia="仿宋" w:cs="仿宋"/>
          <w:sz w:val="32"/>
          <w:szCs w:val="32"/>
          <w:lang w:val="en-US" w:eastAsia="zh-CN"/>
        </w:rPr>
      </w:pPr>
      <w:r>
        <w:rPr>
          <w:rFonts w:hint="eastAsia" w:ascii="仿宋" w:hAnsi="仿宋" w:eastAsia="仿宋" w:cs="仿宋"/>
          <w:sz w:val="32"/>
          <w:szCs w:val="32"/>
          <w:highlight w:val="green"/>
          <w:lang w:val="en-US" w:eastAsia="zh-CN"/>
        </w:rPr>
        <w:t>2.学生个人信息补充</w:t>
      </w:r>
      <w:r>
        <w:rPr>
          <w:rFonts w:hint="eastAsia" w:ascii="仿宋" w:hAnsi="仿宋" w:eastAsia="仿宋" w:cs="仿宋"/>
          <w:sz w:val="32"/>
          <w:szCs w:val="32"/>
          <w:lang w:val="en-US" w:eastAsia="zh-CN"/>
        </w:rPr>
        <w:t>：由学生本人登录学院成教学生服务平台</w:t>
      </w:r>
      <w:r>
        <w:rPr>
          <w:rFonts w:hint="default" w:ascii="仿宋" w:hAnsi="仿宋" w:eastAsia="仿宋" w:cs="仿宋"/>
          <w:sz w:val="32"/>
          <w:szCs w:val="32"/>
          <w:lang w:val="en-US" w:eastAsia="zh-CN"/>
        </w:rPr>
        <w:t>完成。</w:t>
      </w:r>
    </w:p>
    <w:p>
      <w:pPr>
        <w:keepNext w:val="0"/>
        <w:keepLines w:val="0"/>
        <w:widowControl/>
        <w:suppressLineNumbers w:val="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（1）补充家庭成员信息:学生登录成教学生服务平台-学生服务-信息变更-点击进入查看/编辑页面后，将页面下拉至家庭成员信息处（如下图）</w:t>
      </w:r>
    </w:p>
    <w:p>
      <w:pPr>
        <w:numPr>
          <w:ilvl w:val="0"/>
          <w:numId w:val="0"/>
        </w:numPr>
        <w:ind w:leftChars="0"/>
        <w:rPr>
          <w:rFonts w:hint="eastAsia" w:ascii="仿宋" w:hAnsi="仿宋" w:eastAsia="仿宋" w:cs="仿宋"/>
          <w:sz w:val="32"/>
          <w:szCs w:val="32"/>
          <w:lang w:val="en-US" w:eastAsia="zh-CN"/>
        </w:rPr>
      </w:pPr>
      <w:r>
        <w:drawing>
          <wp:inline distT="0" distB="0" distL="114300" distR="114300">
            <wp:extent cx="5273675" cy="1750695"/>
            <wp:effectExtent l="0" t="0" r="3175" b="190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1"/>
                    <a:stretch>
                      <a:fillRect/>
                    </a:stretch>
                  </pic:blipFill>
                  <pic:spPr>
                    <a:xfrm>
                      <a:off x="0" y="0"/>
                      <a:ext cx="5273675" cy="1750695"/>
                    </a:xfrm>
                    <a:prstGeom prst="rect">
                      <a:avLst/>
                    </a:prstGeom>
                    <a:noFill/>
                    <a:ln>
                      <a:noFill/>
                    </a:ln>
                  </pic:spPr>
                </pic:pic>
              </a:graphicData>
            </a:graphic>
          </wp:inline>
        </w:drawing>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添加完毕点击修改进行保存</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要求：自愿填写，入学时已填写的信息不用重复填写；内容为父母、配偶。</w:t>
      </w:r>
    </w:p>
    <w:p>
      <w:pPr>
        <w:keepNext w:val="0"/>
        <w:keepLines w:val="0"/>
        <w:widowControl/>
        <w:suppressLineNumbers w:val="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补充过往履历信息</w:t>
      </w:r>
      <w:r>
        <w:rPr>
          <w:rFonts w:hint="eastAsia" w:ascii="仿宋" w:hAnsi="仿宋" w:eastAsia="仿宋" w:cs="仿宋"/>
          <w:sz w:val="32"/>
          <w:szCs w:val="32"/>
          <w:lang w:val="en-US" w:eastAsia="zh-CN"/>
        </w:rPr>
        <w:t>:学生登录成教学生服务平台-学生服务-信息变更-点击进入查看/编辑页面后，将页面下拉至</w:t>
      </w:r>
      <w:r>
        <w:rPr>
          <w:rFonts w:hint="eastAsia" w:ascii="仿宋" w:hAnsi="仿宋" w:eastAsia="仿宋" w:cs="仿宋"/>
          <w:sz w:val="32"/>
          <w:szCs w:val="32"/>
        </w:rPr>
        <w:t>过往履历信息</w:t>
      </w:r>
      <w:r>
        <w:rPr>
          <w:rFonts w:hint="eastAsia" w:ascii="仿宋" w:hAnsi="仿宋" w:eastAsia="仿宋" w:cs="仿宋"/>
          <w:sz w:val="32"/>
          <w:szCs w:val="32"/>
          <w:lang w:val="en-US" w:eastAsia="zh-CN"/>
        </w:rPr>
        <w:t>处（如下图）</w:t>
      </w:r>
    </w:p>
    <w:p>
      <w:pPr>
        <w:numPr>
          <w:ilvl w:val="0"/>
          <w:numId w:val="0"/>
        </w:numPr>
        <w:rPr>
          <w:rFonts w:hint="eastAsia" w:ascii="仿宋" w:hAnsi="仿宋" w:eastAsia="仿宋" w:cs="仿宋"/>
          <w:sz w:val="32"/>
          <w:szCs w:val="32"/>
          <w:lang w:val="en-US" w:eastAsia="zh-CN"/>
        </w:rPr>
      </w:pPr>
      <w:r>
        <w:drawing>
          <wp:inline distT="0" distB="0" distL="114300" distR="114300">
            <wp:extent cx="5268595" cy="1111885"/>
            <wp:effectExtent l="0" t="0" r="8255" b="1206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2"/>
                    <a:stretch>
                      <a:fillRect/>
                    </a:stretch>
                  </pic:blipFill>
                  <pic:spPr>
                    <a:xfrm>
                      <a:off x="0" y="0"/>
                      <a:ext cx="5268595" cy="1111885"/>
                    </a:xfrm>
                    <a:prstGeom prst="rect">
                      <a:avLst/>
                    </a:prstGeom>
                    <a:noFill/>
                    <a:ln>
                      <a:noFill/>
                    </a:ln>
                  </pic:spPr>
                </pic:pic>
              </a:graphicData>
            </a:graphic>
          </wp:inline>
        </w:drawing>
      </w:r>
    </w:p>
    <w:p>
      <w:pPr>
        <w:numPr>
          <w:ilvl w:val="0"/>
          <w:numId w:val="0"/>
        </w:numPr>
        <w:ind w:leftChars="0"/>
        <w:rPr>
          <w:rFonts w:hint="eastAsia" w:ascii="仿宋" w:hAnsi="仿宋" w:eastAsia="仿宋" w:cs="仿宋"/>
          <w:sz w:val="32"/>
          <w:szCs w:val="32"/>
          <w:lang w:eastAsia="zh-CN"/>
        </w:rPr>
      </w:pPr>
      <w:r>
        <w:rPr>
          <w:rFonts w:hint="eastAsia" w:ascii="仿宋" w:hAnsi="仿宋" w:eastAsia="仿宋" w:cs="仿宋"/>
          <w:sz w:val="32"/>
          <w:szCs w:val="32"/>
        </w:rPr>
        <w:t>添加完毕点击修改进行保存</w:t>
      </w:r>
      <w:r>
        <w:rPr>
          <w:rFonts w:hint="eastAsia" w:ascii="仿宋" w:hAnsi="仿宋" w:eastAsia="仿宋" w:cs="仿宋"/>
          <w:sz w:val="32"/>
          <w:szCs w:val="32"/>
          <w:lang w:eastAsia="zh-CN"/>
        </w:rPr>
        <w:t>。</w:t>
      </w:r>
    </w:p>
    <w:p>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t>要求：需按时间顺序填写高中至在学院学习的经历，特别是在学院学习的经历不可缺少，时间顺序不可间断应保持连续性，入学时已经填写的信息不用重复填写。</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highlight w:val="green"/>
          <w:lang w:val="en-US" w:eastAsia="zh-CN"/>
        </w:rPr>
        <w:t>3.添加自我评价</w:t>
      </w:r>
      <w:r>
        <w:rPr>
          <w:rFonts w:hint="eastAsia" w:ascii="仿宋" w:hAnsi="仿宋" w:eastAsia="仿宋" w:cs="仿宋"/>
          <w:sz w:val="32"/>
          <w:szCs w:val="32"/>
          <w:lang w:val="en-US" w:eastAsia="zh-CN"/>
        </w:rPr>
        <w:t>:学生登录成教学生服务平台-学生服务-信息变更-点击进入毕业生登记表进行填</w:t>
      </w:r>
      <w:r>
        <w:rPr>
          <w:rFonts w:hint="default" w:ascii="仿宋" w:hAnsi="仿宋" w:eastAsia="仿宋" w:cs="仿宋"/>
          <w:sz w:val="32"/>
          <w:szCs w:val="32"/>
          <w:lang w:val="en-US" w:eastAsia="zh-CN"/>
        </w:rPr>
        <w:t>写</w:t>
      </w:r>
      <w:r>
        <w:rPr>
          <w:rFonts w:hint="eastAsia" w:ascii="仿宋" w:hAnsi="仿宋" w:eastAsia="仿宋" w:cs="仿宋"/>
          <w:sz w:val="32"/>
          <w:szCs w:val="32"/>
          <w:lang w:val="en-US" w:eastAsia="zh-CN"/>
        </w:rPr>
        <w:t>：</w:t>
      </w:r>
    </w:p>
    <w:p>
      <w:pPr>
        <w:numPr>
          <w:ilvl w:val="0"/>
          <w:numId w:val="0"/>
        </w:numPr>
        <w:ind w:leftChars="0"/>
      </w:pPr>
      <w:r>
        <w:drawing>
          <wp:inline distT="0" distB="0" distL="114300" distR="114300">
            <wp:extent cx="5273040" cy="2743200"/>
            <wp:effectExtent l="0" t="0" r="381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3"/>
                    <a:stretch>
                      <a:fillRect/>
                    </a:stretch>
                  </pic:blipFill>
                  <pic:spPr>
                    <a:xfrm>
                      <a:off x="0" y="0"/>
                      <a:ext cx="5273040" cy="2743200"/>
                    </a:xfrm>
                    <a:prstGeom prst="rect">
                      <a:avLst/>
                    </a:prstGeom>
                    <a:noFill/>
                    <a:ln>
                      <a:noFill/>
                    </a:ln>
                  </pic:spPr>
                </pic:pic>
              </a:graphicData>
            </a:graphic>
          </wp:inline>
        </w:drawing>
      </w: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rPr>
          <w:rFonts w:hint="eastAsia" w:ascii="仿宋" w:hAnsi="仿宋" w:eastAsia="仿宋" w:cs="仿宋"/>
          <w:sz w:val="32"/>
          <w:szCs w:val="32"/>
          <w:lang w:val="en-US" w:eastAsia="zh-CN"/>
        </w:rPr>
      </w:pPr>
      <w:r>
        <w:drawing>
          <wp:inline distT="0" distB="0" distL="114300" distR="114300">
            <wp:extent cx="5264150" cy="2761615"/>
            <wp:effectExtent l="0" t="0" r="12700" b="63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4"/>
                    <a:stretch>
                      <a:fillRect/>
                    </a:stretch>
                  </pic:blipFill>
                  <pic:spPr>
                    <a:xfrm>
                      <a:off x="0" y="0"/>
                      <a:ext cx="5264150" cy="2761615"/>
                    </a:xfrm>
                    <a:prstGeom prst="rect">
                      <a:avLst/>
                    </a:prstGeom>
                    <a:noFill/>
                    <a:ln>
                      <a:noFill/>
                    </a:ln>
                  </pic:spPr>
                </pic:pic>
              </a:graphicData>
            </a:graphic>
          </wp:inline>
        </w:drawing>
      </w:r>
    </w:p>
    <w:p>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rPr>
        <w:t>要求：自我评价作为毕业档案内容，提交后不可更改，填写者对评价内容负责。 学生应对在校学习期间的政治思想表现、个人品德、学习态度、学习收获与心得等方面进行真实、客观的自我评价，字数不少于 200 字。</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highlight w:val="green"/>
          <w:lang w:val="en-US" w:eastAsia="zh-CN"/>
        </w:rPr>
        <w:t>个人成绩核对</w:t>
      </w:r>
      <w:r>
        <w:rPr>
          <w:rFonts w:hint="eastAsia" w:ascii="仿宋" w:hAnsi="仿宋" w:eastAsia="仿宋" w:cs="仿宋"/>
          <w:sz w:val="32"/>
          <w:szCs w:val="32"/>
          <w:lang w:val="en-US" w:eastAsia="zh-CN"/>
        </w:rPr>
        <w:t>：该项工作务必于5月24日前完成，学生登录成教学生服务平台-学期考试成绩，点击进入学期考试成绩进行核对：</w:t>
      </w:r>
    </w:p>
    <w:p>
      <w:pPr>
        <w:numPr>
          <w:ilvl w:val="0"/>
          <w:numId w:val="0"/>
        </w:numPr>
      </w:pPr>
      <w:r>
        <w:drawing>
          <wp:inline distT="0" distB="0" distL="114300" distR="114300">
            <wp:extent cx="5262245" cy="2724150"/>
            <wp:effectExtent l="0" t="0" r="14605"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5"/>
                    <a:stretch>
                      <a:fillRect/>
                    </a:stretch>
                  </pic:blipFill>
                  <pic:spPr>
                    <a:xfrm>
                      <a:off x="0" y="0"/>
                      <a:ext cx="5262245" cy="2724150"/>
                    </a:xfrm>
                    <a:prstGeom prst="rect">
                      <a:avLst/>
                    </a:prstGeom>
                    <a:noFill/>
                    <a:ln>
                      <a:noFill/>
                    </a:ln>
                  </pic:spPr>
                </pic:pic>
              </a:graphicData>
            </a:graphic>
          </wp:inline>
        </w:drawing>
      </w:r>
    </w:p>
    <w:p>
      <w:pPr>
        <w:numPr>
          <w:ilvl w:val="0"/>
          <w:numId w:val="0"/>
        </w:num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AD346"/>
    <w:multiLevelType w:val="singleLevel"/>
    <w:tmpl w:val="EBEAD346"/>
    <w:lvl w:ilvl="0" w:tentative="0">
      <w:start w:val="1"/>
      <w:numFmt w:val="decimal"/>
      <w:lvlText w:val="%1."/>
      <w:lvlJc w:val="left"/>
      <w:pPr>
        <w:tabs>
          <w:tab w:val="left" w:pos="312"/>
        </w:tabs>
      </w:pPr>
      <w:rPr>
        <w:rFonts w:hint="default"/>
        <w:highlight w:val="green"/>
      </w:rPr>
    </w:lvl>
  </w:abstractNum>
  <w:abstractNum w:abstractNumId="1">
    <w:nsid w:val="08716577"/>
    <w:multiLevelType w:val="singleLevel"/>
    <w:tmpl w:val="08716577"/>
    <w:lvl w:ilvl="0" w:tentative="0">
      <w:start w:val="4"/>
      <w:numFmt w:val="decimal"/>
      <w:suff w:val="nothing"/>
      <w:lvlText w:val="（%1）"/>
      <w:lvlJc w:val="left"/>
    </w:lvl>
  </w:abstractNum>
  <w:abstractNum w:abstractNumId="2">
    <w:nsid w:val="1378F79A"/>
    <w:multiLevelType w:val="singleLevel"/>
    <w:tmpl w:val="1378F79A"/>
    <w:lvl w:ilvl="0" w:tentative="0">
      <w:start w:val="4"/>
      <w:numFmt w:val="decimal"/>
      <w:lvlText w:val="%1."/>
      <w:lvlJc w:val="left"/>
      <w:pPr>
        <w:tabs>
          <w:tab w:val="left" w:pos="312"/>
        </w:tabs>
      </w:pPr>
      <w:rPr>
        <w:rFonts w:hint="default"/>
        <w:highlight w:val="gree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mNmNjFjY2NiN2Y4ODkzYTc0YTA0ZjkxZTkyZGQifQ=="/>
  </w:docVars>
  <w:rsids>
    <w:rsidRoot w:val="0B972FA9"/>
    <w:rsid w:val="055A6800"/>
    <w:rsid w:val="067504F0"/>
    <w:rsid w:val="0B972FA9"/>
    <w:rsid w:val="13713E9F"/>
    <w:rsid w:val="1B59640B"/>
    <w:rsid w:val="22C238E5"/>
    <w:rsid w:val="269801E4"/>
    <w:rsid w:val="283D13F6"/>
    <w:rsid w:val="388C5198"/>
    <w:rsid w:val="3AA754C6"/>
    <w:rsid w:val="64DC3993"/>
    <w:rsid w:val="70954C14"/>
    <w:rsid w:val="7D38498B"/>
    <w:rsid w:val="7ED4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1151</Words>
  <Characters>1268</Characters>
  <Lines>0</Lines>
  <Paragraphs>0</Paragraphs>
  <TotalTime>7</TotalTime>
  <ScaleCrop>false</ScaleCrop>
  <LinksUpToDate>false</LinksUpToDate>
  <CharactersWithSpaces>1277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2021-05-20T02:46:00Z</dcterms:created>
  <dc:creator>厌世症</dc:creator>
  <cp:lastModifiedBy>熊小爬</cp:lastModifiedBy>
  <dcterms:modified xsi:type="dcterms:W3CDTF">2022-05-18T09:10:06Z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8E1447B28D08473BB36FDF385B741B74</vt:lpwstr>
  </property>
</Properties>
</file>