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一、单选</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1-10、BBADDBCCBC</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二、多选</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b w:val="0"/>
          <w:bCs/>
          <w:sz w:val="21"/>
          <w:szCs w:val="21"/>
        </w:rPr>
        <w:t>ABCD</w:t>
      </w: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b w:val="0"/>
          <w:bCs/>
          <w:sz w:val="21"/>
          <w:szCs w:val="21"/>
        </w:rPr>
        <w:t>BCDE</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b w:val="0"/>
          <w:bCs/>
          <w:sz w:val="21"/>
          <w:szCs w:val="21"/>
        </w:rPr>
        <w:t>ABC</w:t>
      </w: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b w:val="0"/>
          <w:bCs/>
          <w:sz w:val="21"/>
          <w:szCs w:val="21"/>
        </w:rPr>
        <w:t>CD</w:t>
      </w:r>
    </w:p>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5、</w:t>
      </w:r>
      <w:r>
        <w:rPr>
          <w:rFonts w:hint="eastAsia" w:ascii="微软雅黑" w:hAnsi="微软雅黑" w:eastAsia="微软雅黑" w:cs="微软雅黑"/>
          <w:b w:val="0"/>
          <w:bCs/>
          <w:sz w:val="21"/>
          <w:szCs w:val="21"/>
        </w:rPr>
        <w:t>ACD</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 xml:space="preserve">三、判断题 </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 xml:space="preserve">1.× 2.√ 3.× 4.×  5.√ </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四、简答题</w:t>
      </w:r>
    </w:p>
    <w:p>
      <w:pPr>
        <w:bidi w:val="0"/>
        <w:rPr>
          <w:rFonts w:hint="default" w:ascii="微软雅黑" w:hAnsi="微软雅黑" w:eastAsia="微软雅黑" w:cs="微软雅黑"/>
          <w:b w:val="0"/>
          <w:bCs/>
          <w:sz w:val="21"/>
          <w:szCs w:val="21"/>
          <w:lang w:val="en-US" w:eastAsia="zh-CN"/>
        </w:rPr>
      </w:pPr>
      <w:r>
        <w:rPr>
          <w:rFonts w:hint="eastAsia" w:ascii="微软雅黑" w:hAnsi="微软雅黑" w:eastAsia="微软雅黑" w:cs="微软雅黑"/>
          <w:b w:val="0"/>
          <w:bCs/>
          <w:sz w:val="21"/>
          <w:szCs w:val="21"/>
          <w:lang w:val="en-US" w:eastAsia="zh-CN"/>
        </w:rPr>
        <w:t>1.</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答：由于合并财务报表的编制涉及到两个或两个以上的会计主体与独立法人，所以为了保证合并财务报表够准确、全面地反映出企业集团的真实情况，在编制合并财务报表时必须具备一些基本的前提条件。这些前提条件主要包括：</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(1)统一母公司与子公司的财务报表决算日和会计期间</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(2)统一母公司与子公司采用的会计政策</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(3)统一母公司与子公司的编报货币</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(4)按权益法调整对子公司的长期股权投资</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在日常会计核算中，母公司对子公司的长期股权投资按成本法核算。在编制合并财务报表过程中，应当将母公司对子公司的长期股权投资调整为权益法后，再由母公司编制合并报表。</w:t>
      </w:r>
      <w:bookmarkStart w:id="0" w:name="_GoBack"/>
      <w:bookmarkEnd w:id="0"/>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lang w:val="en-US" w:eastAsia="zh-CN"/>
        </w:rPr>
        <w:t>2.</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答：由于租赁开始日租赁付款额现值计算采用的折现率不同、租赁资产的人账价值基础不同，分摊融资费用所选择的实际利率也有差异。具体包括四种情况：</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(1)租赁资产以最低租赁付款额现值作为人账价值，现值的计算以出租人的租赁内含利率作为折现率的，应将租赁内含利率作为未确认融资费用的分摊率。</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(2)租赁资产以最低租赁付款额的现值作为人账价值，现值的计算以租赁合同规定利率作为折现率的，应将租赁合同利率作为未确认融资费用的分摊率。</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(3)租赁资产以最低租赁付款额的现值作为人账价值，现值的计算以银行同期贷款利率作为折现率的，应将银行同期贷款利率作为未确认融资费用的分摊率。</w:t>
      </w:r>
    </w:p>
    <w:p>
      <w:pPr>
        <w:bidi w:val="0"/>
        <w:rPr>
          <w:rFonts w:hint="eastAsia" w:ascii="微软雅黑" w:hAnsi="微软雅黑" w:eastAsia="微软雅黑" w:cs="微软雅黑"/>
          <w:b w:val="0"/>
          <w:bCs/>
          <w:sz w:val="21"/>
          <w:szCs w:val="21"/>
        </w:rPr>
      </w:pPr>
      <w:r>
        <w:rPr>
          <w:rFonts w:hint="eastAsia" w:ascii="微软雅黑" w:hAnsi="微软雅黑" w:eastAsia="微软雅黑" w:cs="微软雅黑"/>
          <w:b w:val="0"/>
          <w:bCs/>
          <w:sz w:val="21"/>
          <w:szCs w:val="21"/>
        </w:rPr>
        <w:t>(4)租赁资产以公允价值作为入账价值的，应重新计算融资费用分摊率，该分摊率是指在租赁开始日使最低租赁付款额现值等于租赁资产公允价值的折现率。</w:t>
      </w:r>
    </w:p>
    <w:p>
      <w:pPr>
        <w:bidi w:val="0"/>
        <w:rPr>
          <w:rFonts w:hint="eastAsia" w:ascii="微软雅黑" w:hAnsi="微软雅黑" w:eastAsia="微软雅黑" w:cs="微软雅黑"/>
          <w:b w:val="0"/>
          <w:bCs/>
          <w:sz w:val="21"/>
          <w:szCs w:val="21"/>
        </w:rPr>
      </w:pPr>
    </w:p>
    <w:p>
      <w:pPr>
        <w:bidi w:val="0"/>
        <w:rPr>
          <w:rFonts w:hint="eastAsia" w:ascii="微软雅黑" w:hAnsi="微软雅黑" w:eastAsia="微软雅黑" w:cs="微软雅黑"/>
          <w:b w:val="0"/>
          <w:bCs/>
          <w:sz w:val="21"/>
          <w:szCs w:val="21"/>
        </w:rPr>
      </w:pPr>
    </w:p>
    <w:p>
      <w:pPr>
        <w:rPr>
          <w:rFonts w:hint="default" w:ascii="微软雅黑" w:hAnsi="微软雅黑" w:eastAsia="微软雅黑" w:cs="微软雅黑"/>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2463D4"/>
    <w:rsid w:val="24481E87"/>
    <w:rsid w:val="432463D4"/>
    <w:rsid w:val="6B993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2019-12-11T07:54:00Z</dcterms:created>
  <dc:creator>油炸大西瓜</dc:creator>
  <cp:lastModifiedBy>Farewell-Waiting</cp:lastModifiedBy>
  <dcterms:modified xsi:type="dcterms:W3CDTF">2022-04-20T07:29:21Z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AB1261404118400EB83A6945D879D381</vt:lpwstr>
  </property>
</Properties>
</file>